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single" w:sz="36" w:space="0" w:color="174B25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24"/>
      </w:tblGrid>
      <w:tr w:rsidR="00736A47" w:rsidRPr="00105E31" w:rsidTr="00A355B1">
        <w:tc>
          <w:tcPr>
            <w:tcW w:w="5016" w:type="dxa"/>
            <w:tcBorders>
              <w:right w:val="single" w:sz="8" w:space="0" w:color="174B25"/>
            </w:tcBorders>
          </w:tcPr>
          <w:p w:rsidR="00736A47" w:rsidRPr="00105E31" w:rsidRDefault="008A6D0F" w:rsidP="00653934">
            <w:pPr>
              <w:tabs>
                <w:tab w:val="left" w:pos="3348"/>
              </w:tabs>
              <w:rPr>
                <w:rFonts w:asciiTheme="majorHAnsi" w:hAnsiTheme="majorHAnsi" w:cs="Arial"/>
                <w:color w:val="1D1F64"/>
                <w:sz w:val="24"/>
                <w:szCs w:val="24"/>
                <w:lang w:val="en-CA"/>
              </w:rPr>
            </w:pPr>
            <w:r w:rsidRPr="00105E31">
              <w:rPr>
                <w:rFonts w:asciiTheme="majorHAnsi" w:hAnsiTheme="majorHAnsi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-156845</wp:posOffset>
                  </wp:positionV>
                  <wp:extent cx="2968625" cy="767080"/>
                  <wp:effectExtent l="0" t="0" r="3175" b="0"/>
                  <wp:wrapTopAndBottom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8"/>
                          <a:srcRect l="2283" t="8731" r="2631" b="7142"/>
                          <a:stretch/>
                        </pic:blipFill>
                        <pic:spPr>
                          <a:xfrm>
                            <a:off x="0" y="0"/>
                            <a:ext cx="296862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4" w:type="dxa"/>
            <w:tcBorders>
              <w:top w:val="nil"/>
              <w:left w:val="single" w:sz="8" w:space="0" w:color="174B25"/>
              <w:bottom w:val="single" w:sz="36" w:space="0" w:color="174B25"/>
            </w:tcBorders>
            <w:vAlign w:val="center"/>
          </w:tcPr>
          <w:p w:rsidR="00294355" w:rsidRDefault="00294355" w:rsidP="00567F0A">
            <w:pPr>
              <w:jc w:val="center"/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</w:pPr>
            <w:r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  <w:t>Investment Funds:</w:t>
            </w:r>
          </w:p>
          <w:p w:rsidR="004F1989" w:rsidRDefault="00332DF5" w:rsidP="00567F0A">
            <w:pPr>
              <w:jc w:val="center"/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</w:pPr>
            <w:r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  <w:t>ANNUAL REVIEW</w:t>
            </w:r>
          </w:p>
          <w:p w:rsidR="00332DF5" w:rsidRPr="00985FDF" w:rsidRDefault="005F3320" w:rsidP="00567F0A">
            <w:pPr>
              <w:jc w:val="center"/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</w:pPr>
            <w:r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  <w:t>(Secondary</w:t>
            </w:r>
            <w:r w:rsidR="00332DF5">
              <w:rPr>
                <w:rFonts w:asciiTheme="majorHAnsi" w:hAnsiTheme="majorHAnsi" w:cs="Arial"/>
                <w:b/>
                <w:color w:val="1D1F64"/>
                <w:sz w:val="40"/>
                <w:szCs w:val="40"/>
                <w:lang w:val="en-CA"/>
              </w:rPr>
              <w:t xml:space="preserve"> listed)</w:t>
            </w:r>
          </w:p>
        </w:tc>
      </w:tr>
    </w:tbl>
    <w:p w:rsidR="00332DF5" w:rsidRDefault="00332DF5" w:rsidP="00B14D45">
      <w:pP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sectPr w:rsidR="00332DF5" w:rsidSect="005A13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cols w:space="708"/>
          <w:titlePg/>
          <w:docGrid w:linePitch="360"/>
        </w:sectPr>
      </w:pPr>
    </w:p>
    <w:p w:rsidR="00332DF5" w:rsidRDefault="00332DF5" w:rsidP="00B14D45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9321B7" w:rsidRDefault="009321B7" w:rsidP="00B14D45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9321B7" w:rsidRDefault="009321B7" w:rsidP="00B14D45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  <w:sectPr w:rsidR="009321B7" w:rsidSect="00332DF5">
          <w:type w:val="continuous"/>
          <w:pgSz w:w="12240" w:h="15840"/>
          <w:pgMar w:top="720" w:right="1440" w:bottom="720" w:left="1440" w:header="720" w:footer="720" w:gutter="0"/>
          <w:cols w:num="2" w:space="708"/>
          <w:titlePg/>
          <w:docGrid w:linePitch="360"/>
        </w:sectPr>
      </w:pPr>
    </w:p>
    <w:p w:rsidR="00332DF5" w:rsidRDefault="00332DF5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Name of issuer: </w:t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  <w:t>…………………………………………………………………</w:t>
      </w:r>
    </w:p>
    <w:p w:rsidR="00332DF5" w:rsidRDefault="005F3320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Date of admission to listing: </w:t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  <w:t xml:space="preserve">             </w:t>
      </w:r>
      <w:r w:rsidR="00332DF5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…………………………………………………………………</w:t>
      </w:r>
    </w:p>
    <w:p w:rsidR="00332DF5" w:rsidRDefault="005F3320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Name of Primary Exchange</w:t>
      </w:r>
      <w:r w:rsidR="00332DF5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: </w:t>
      </w:r>
      <w:r w:rsidR="00332DF5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 w:rsidR="00332DF5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 w:rsidR="00332DF5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 w:rsidR="00332DF5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  <w:t>…………………………………………………………………</w:t>
      </w:r>
    </w:p>
    <w:p w:rsidR="00332DF5" w:rsidRDefault="00332DF5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Closed/Open ended: </w:t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  <w:t>…………………………………………………………………</w:t>
      </w:r>
    </w:p>
    <w:p w:rsidR="00332DF5" w:rsidRDefault="00332DF5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Financial Year End: </w:t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  <w:t>…………………………………………………………………</w:t>
      </w:r>
    </w:p>
    <w:p w:rsidR="00332DF5" w:rsidRDefault="00332DF5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Confirmation of contact </w:t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ab/>
      </w:r>
    </w:p>
    <w:p w:rsidR="00332DF5" w:rsidRDefault="00332DF5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Name for continuing obligation</w:t>
      </w:r>
    </w:p>
    <w:p w:rsidR="00B14D45" w:rsidRDefault="005F3320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q</w:t>
      </w:r>
      <w:r w:rsidR="00BC11E8"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 xml:space="preserve">ueries and email:                                                           …………………………………………………………………                           </w:t>
      </w:r>
    </w:p>
    <w:p w:rsidR="00D00807" w:rsidRDefault="00D00807" w:rsidP="00532545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p w:rsidR="00D00807" w:rsidRDefault="00D00807" w:rsidP="00D00807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SUBMITTED BY ………………………………………………(ISSUER/LISTING AGENT)</w:t>
      </w:r>
    </w:p>
    <w:p w:rsidR="00D00807" w:rsidRDefault="00D00807" w:rsidP="00D00807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p w:rsidR="00D00807" w:rsidRDefault="00D00807" w:rsidP="00D00807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SIGNED BY…………………………………………………………………………..</w:t>
      </w:r>
    </w:p>
    <w:p w:rsidR="00D00807" w:rsidRDefault="00D00807" w:rsidP="00D00807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p w:rsidR="00D00807" w:rsidRDefault="00D00807" w:rsidP="00D00807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  <w:r>
        <w:rPr>
          <w:rFonts w:asciiTheme="majorHAnsi" w:hAnsiTheme="majorHAnsi" w:cs="Arial"/>
          <w:b/>
          <w:color w:val="174B25"/>
          <w:sz w:val="24"/>
          <w:szCs w:val="24"/>
          <w:lang w:val="en-CA"/>
        </w:rPr>
        <w:t>DATE: …………………………………………………………………………………</w:t>
      </w:r>
    </w:p>
    <w:p w:rsidR="00D00807" w:rsidRDefault="00D00807" w:rsidP="00532545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p w:rsidR="00D00807" w:rsidRDefault="00D00807" w:rsidP="00532545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p w:rsidR="009321B7" w:rsidRDefault="009321B7" w:rsidP="009321B7">
      <w:pPr>
        <w:jc w:val="both"/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990"/>
        <w:gridCol w:w="3618"/>
      </w:tblGrid>
      <w:tr w:rsidR="009321B7" w:rsidTr="005A74AB">
        <w:trPr>
          <w:trHeight w:val="228"/>
        </w:trPr>
        <w:tc>
          <w:tcPr>
            <w:tcW w:w="9576" w:type="dxa"/>
            <w:gridSpan w:val="3"/>
          </w:tcPr>
          <w:p w:rsidR="009321B7" w:rsidRPr="005A74AB" w:rsidRDefault="00567F0A" w:rsidP="009321B7">
            <w:pPr>
              <w:jc w:val="both"/>
              <w:rPr>
                <w:rFonts w:asciiTheme="majorHAnsi" w:hAnsiTheme="majorHAnsi" w:cs="Arial"/>
                <w:b/>
                <w:i/>
                <w:color w:val="174B25"/>
                <w:sz w:val="24"/>
                <w:szCs w:val="24"/>
                <w:lang w:val="en-CA"/>
              </w:rPr>
            </w:pPr>
            <w:r w:rsidRPr="005A74AB">
              <w:rPr>
                <w:rFonts w:asciiTheme="majorHAnsi" w:hAnsiTheme="majorHAnsi" w:cs="Arial"/>
                <w:b/>
                <w:i/>
                <w:color w:val="174B25"/>
                <w:sz w:val="24"/>
                <w:szCs w:val="24"/>
                <w:lang w:val="en-CA"/>
              </w:rPr>
              <w:t xml:space="preserve">Note: A full and complete copy of the annual accounts should be attached to this annual review checklist. </w:t>
            </w:r>
          </w:p>
        </w:tc>
      </w:tr>
      <w:tr w:rsidR="009321B7" w:rsidTr="00BC2254">
        <w:tblPrEx>
          <w:tblLook w:val="04A0" w:firstRow="1" w:lastRow="0" w:firstColumn="1" w:lastColumn="0" w:noHBand="0" w:noVBand="1"/>
        </w:tblPrEx>
        <w:tc>
          <w:tcPr>
            <w:tcW w:w="4968" w:type="dxa"/>
          </w:tcPr>
          <w:p w:rsidR="009321B7" w:rsidRDefault="007A1EF7" w:rsidP="007A1EF7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  <w:t xml:space="preserve">Annual Review: </w:t>
            </w:r>
          </w:p>
        </w:tc>
        <w:tc>
          <w:tcPr>
            <w:tcW w:w="990" w:type="dxa"/>
          </w:tcPr>
          <w:p w:rsidR="009321B7" w:rsidRDefault="00DF1F3D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  <w:t xml:space="preserve">Answer </w:t>
            </w:r>
          </w:p>
        </w:tc>
        <w:tc>
          <w:tcPr>
            <w:tcW w:w="3618" w:type="dxa"/>
          </w:tcPr>
          <w:p w:rsidR="009321B7" w:rsidRDefault="00DE358E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  <w:t xml:space="preserve">Comments </w:t>
            </w:r>
          </w:p>
        </w:tc>
      </w:tr>
      <w:tr w:rsidR="009321B7" w:rsidTr="00BC2254">
        <w:tblPrEx>
          <w:tblLook w:val="04A0" w:firstRow="1" w:lastRow="0" w:firstColumn="1" w:lastColumn="0" w:noHBand="0" w:noVBand="1"/>
        </w:tblPrEx>
        <w:tc>
          <w:tcPr>
            <w:tcW w:w="4968" w:type="dxa"/>
          </w:tcPr>
          <w:p w:rsidR="009321B7" w:rsidRPr="00DE358E" w:rsidRDefault="005F3320" w:rsidP="009321B7">
            <w:pPr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Confirmation with Listing Rules of the Primary Exchange </w:t>
            </w:r>
            <w:r w:rsidR="009321B7" w:rsidRPr="009321B7"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 </w:t>
            </w:r>
          </w:p>
          <w:p w:rsidR="009321B7" w:rsidRPr="009321B7" w:rsidRDefault="005F3320" w:rsidP="00B14D45">
            <w:pPr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>Confirm that, during the period under the review, the issuer was in compliance with the continuing obligations of the primary exchange.</w:t>
            </w:r>
          </w:p>
        </w:tc>
        <w:tc>
          <w:tcPr>
            <w:tcW w:w="990" w:type="dxa"/>
          </w:tcPr>
          <w:p w:rsidR="009321B7" w:rsidRDefault="009321B7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  <w:r w:rsidRPr="00BC2254"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  <w:t>YES/NO</w:t>
            </w:r>
          </w:p>
        </w:tc>
        <w:tc>
          <w:tcPr>
            <w:tcW w:w="3618" w:type="dxa"/>
          </w:tcPr>
          <w:p w:rsidR="009321B7" w:rsidRDefault="009321B7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</w:p>
        </w:tc>
      </w:tr>
      <w:tr w:rsidR="009321B7" w:rsidTr="00BC2254">
        <w:tblPrEx>
          <w:tblLook w:val="04A0" w:firstRow="1" w:lastRow="0" w:firstColumn="1" w:lastColumn="0" w:noHBand="0" w:noVBand="1"/>
        </w:tblPrEx>
        <w:tc>
          <w:tcPr>
            <w:tcW w:w="4968" w:type="dxa"/>
          </w:tcPr>
          <w:p w:rsidR="005F3320" w:rsidRDefault="005F3320" w:rsidP="00DE358E">
            <w:pPr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</w:pP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Equivalent information (LR9.118) </w:t>
            </w:r>
          </w:p>
          <w:p w:rsidR="009321B7" w:rsidRPr="005F3320" w:rsidRDefault="005F3320" w:rsidP="005F3320">
            <w:pPr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 xml:space="preserve">Confirm that during the period under review, the issuer made available to the CSX any information and documentation  that the issuer supplied to the primary exchange. </w:t>
            </w:r>
          </w:p>
        </w:tc>
        <w:tc>
          <w:tcPr>
            <w:tcW w:w="990" w:type="dxa"/>
          </w:tcPr>
          <w:p w:rsidR="009321B7" w:rsidRDefault="00DE358E" w:rsidP="00B14D45">
            <w:pPr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</w:pPr>
            <w:r w:rsidRPr="00BC2254"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  <w:t>YES/NO</w:t>
            </w:r>
          </w:p>
          <w:p w:rsidR="00BC2254" w:rsidRDefault="00BC2254" w:rsidP="00B14D45">
            <w:pPr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</w:pPr>
          </w:p>
          <w:p w:rsidR="00BC2254" w:rsidRDefault="00BC2254" w:rsidP="00B14D45">
            <w:pPr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</w:pPr>
          </w:p>
          <w:p w:rsidR="00BC2254" w:rsidRDefault="00BC2254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</w:p>
        </w:tc>
        <w:tc>
          <w:tcPr>
            <w:tcW w:w="3618" w:type="dxa"/>
          </w:tcPr>
          <w:p w:rsidR="009321B7" w:rsidRDefault="009321B7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</w:p>
        </w:tc>
      </w:tr>
      <w:tr w:rsidR="009321B7" w:rsidTr="00BC2254">
        <w:tblPrEx>
          <w:tblLook w:val="04A0" w:firstRow="1" w:lastRow="0" w:firstColumn="1" w:lastColumn="0" w:noHBand="0" w:noVBand="1"/>
        </w:tblPrEx>
        <w:tc>
          <w:tcPr>
            <w:tcW w:w="4968" w:type="dxa"/>
          </w:tcPr>
          <w:p w:rsidR="009321B7" w:rsidRPr="007A1EF7" w:rsidRDefault="007A1EF7" w:rsidP="007A1EF7">
            <w:pPr>
              <w:jc w:val="both"/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</w:pPr>
            <w:r w:rsidRPr="007A1EF7"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General obligation of disclosure </w:t>
            </w: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(LR2.39) </w:t>
            </w:r>
          </w:p>
          <w:p w:rsidR="005F3320" w:rsidRDefault="007A1EF7" w:rsidP="007A1EF7">
            <w:pPr>
              <w:jc w:val="both"/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</w:pP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 xml:space="preserve">Confirm that all notifications been filed with the CSX, holders of the shares and public and all respective announcements been made to the CSX of all information which: </w:t>
            </w:r>
          </w:p>
          <w:p w:rsidR="005F3320" w:rsidRDefault="007A1EF7" w:rsidP="005F3320">
            <w:pPr>
              <w:pStyle w:val="ListParagraph"/>
              <w:numPr>
                <w:ilvl w:val="0"/>
                <w:numId w:val="47"/>
              </w:numPr>
              <w:ind w:left="450" w:hanging="450"/>
              <w:jc w:val="both"/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</w:pPr>
            <w:r w:rsidRPr="005F3320"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>is necessary to enable them and the public to appraise the financial position of the issuer and its group;</w:t>
            </w:r>
          </w:p>
          <w:p w:rsidR="005F3320" w:rsidRDefault="007A1EF7" w:rsidP="005F3320">
            <w:pPr>
              <w:pStyle w:val="ListParagraph"/>
              <w:numPr>
                <w:ilvl w:val="0"/>
                <w:numId w:val="47"/>
              </w:numPr>
              <w:ind w:left="450" w:hanging="450"/>
              <w:jc w:val="both"/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</w:pPr>
            <w:r w:rsidRPr="005F3320"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>is necessary to avoid the establishment of a false market in its securities; and</w:t>
            </w:r>
          </w:p>
          <w:p w:rsidR="007A1EF7" w:rsidRPr="005F3320" w:rsidRDefault="007A1EF7" w:rsidP="005F3320">
            <w:pPr>
              <w:pStyle w:val="ListParagraph"/>
              <w:numPr>
                <w:ilvl w:val="0"/>
                <w:numId w:val="47"/>
              </w:numPr>
              <w:ind w:left="450" w:hanging="450"/>
              <w:jc w:val="both"/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</w:pPr>
            <w:r w:rsidRPr="005F3320"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 xml:space="preserve">might reasonably be expected materially to affect market activity in and the price of its securities. </w:t>
            </w:r>
          </w:p>
        </w:tc>
        <w:tc>
          <w:tcPr>
            <w:tcW w:w="990" w:type="dxa"/>
          </w:tcPr>
          <w:p w:rsidR="009321B7" w:rsidRPr="00BF100A" w:rsidRDefault="007A1EF7" w:rsidP="00B14D45">
            <w:pPr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</w:pPr>
            <w:r w:rsidRPr="00BF100A"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  <w:t xml:space="preserve">YES/NO </w:t>
            </w:r>
          </w:p>
        </w:tc>
        <w:tc>
          <w:tcPr>
            <w:tcW w:w="3618" w:type="dxa"/>
          </w:tcPr>
          <w:p w:rsidR="009321B7" w:rsidRDefault="009321B7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</w:p>
        </w:tc>
      </w:tr>
      <w:tr w:rsidR="00DF1F3D" w:rsidTr="00BC2254">
        <w:tblPrEx>
          <w:tblLook w:val="04A0" w:firstRow="1" w:lastRow="0" w:firstColumn="1" w:lastColumn="0" w:noHBand="0" w:noVBand="1"/>
        </w:tblPrEx>
        <w:tc>
          <w:tcPr>
            <w:tcW w:w="4968" w:type="dxa"/>
          </w:tcPr>
          <w:p w:rsidR="00DF1F3D" w:rsidRPr="007A1EF7" w:rsidRDefault="007A1EF7" w:rsidP="007A1EF7">
            <w:pPr>
              <w:jc w:val="both"/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</w:pPr>
            <w:r w:rsidRPr="007A1EF7"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Annual listing fee </w:t>
            </w:r>
            <w:r w:rsidR="00BC2254">
              <w:rPr>
                <w:rFonts w:asciiTheme="majorHAnsi" w:hAnsiTheme="majorHAnsi" w:cs="Century Gothic"/>
                <w:color w:val="17365D" w:themeColor="text2" w:themeShade="BF"/>
                <w:kern w:val="28"/>
                <w:sz w:val="24"/>
                <w:szCs w:val="24"/>
                <w:lang w:val="en-GB" w:eastAsia="en-GB"/>
              </w:rPr>
              <w:t xml:space="preserve">(LR9.117) </w:t>
            </w:r>
          </w:p>
          <w:p w:rsidR="007A1EF7" w:rsidRDefault="007A1EF7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  <w:r w:rsidRPr="007A1EF7"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>Confirm that the annual listing fee has been paid</w:t>
            </w:r>
            <w:r>
              <w:rPr>
                <w:rFonts w:asciiTheme="majorHAnsi" w:hAnsiTheme="majorHAnsi" w:cs="Century Gothic"/>
                <w:color w:val="17365D" w:themeColor="text2" w:themeShade="BF"/>
                <w:kern w:val="28"/>
                <w:sz w:val="18"/>
                <w:szCs w:val="18"/>
                <w:lang w:val="en-GB" w:eastAsia="en-GB"/>
              </w:rPr>
              <w:t xml:space="preserve">. </w:t>
            </w:r>
          </w:p>
        </w:tc>
        <w:tc>
          <w:tcPr>
            <w:tcW w:w="990" w:type="dxa"/>
          </w:tcPr>
          <w:p w:rsidR="00DF1F3D" w:rsidRPr="00BF100A" w:rsidRDefault="007A1EF7" w:rsidP="00B14D45">
            <w:pPr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</w:pPr>
            <w:r w:rsidRPr="00BF100A">
              <w:rPr>
                <w:rFonts w:asciiTheme="majorHAnsi" w:hAnsiTheme="majorHAnsi" w:cs="Arial"/>
                <w:b/>
                <w:color w:val="174B25"/>
                <w:sz w:val="18"/>
                <w:szCs w:val="18"/>
                <w:lang w:val="en-CA"/>
              </w:rPr>
              <w:t>YES/NO</w:t>
            </w:r>
          </w:p>
        </w:tc>
        <w:tc>
          <w:tcPr>
            <w:tcW w:w="3618" w:type="dxa"/>
          </w:tcPr>
          <w:p w:rsidR="00DF1F3D" w:rsidRDefault="00DF1F3D" w:rsidP="00B14D45">
            <w:pPr>
              <w:rPr>
                <w:rFonts w:asciiTheme="majorHAnsi" w:hAnsiTheme="majorHAnsi" w:cs="Arial"/>
                <w:b/>
                <w:color w:val="174B25"/>
                <w:sz w:val="24"/>
                <w:szCs w:val="24"/>
                <w:lang w:val="en-CA"/>
              </w:rPr>
            </w:pPr>
          </w:p>
        </w:tc>
      </w:tr>
    </w:tbl>
    <w:p w:rsidR="009321B7" w:rsidRDefault="009321B7" w:rsidP="00B14D45">
      <w:pPr>
        <w:rPr>
          <w:rFonts w:asciiTheme="majorHAnsi" w:hAnsiTheme="majorHAnsi" w:cs="Arial"/>
          <w:b/>
          <w:color w:val="174B25"/>
          <w:sz w:val="24"/>
          <w:szCs w:val="24"/>
          <w:lang w:val="en-CA"/>
        </w:rPr>
      </w:pPr>
    </w:p>
    <w:p w:rsidR="004B0141" w:rsidRPr="00985FDF" w:rsidRDefault="004B0141" w:rsidP="00BD72BD">
      <w:pPr>
        <w:pStyle w:val="NoSpacing"/>
        <w:rPr>
          <w:rFonts w:asciiTheme="majorHAnsi" w:hAnsiTheme="majorHAnsi" w:cs="Arial"/>
          <w:b/>
          <w:caps/>
          <w:color w:val="174B25"/>
          <w:sz w:val="24"/>
          <w:szCs w:val="24"/>
          <w:lang w:val="en-GB"/>
        </w:rPr>
      </w:pPr>
    </w:p>
    <w:sectPr w:rsidR="004B0141" w:rsidRPr="00985FDF" w:rsidSect="00332DF5">
      <w:type w:val="continuous"/>
      <w:pgSz w:w="12240" w:h="15840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20" w:rsidRDefault="005F3320" w:rsidP="005765DA">
      <w:r>
        <w:separator/>
      </w:r>
    </w:p>
  </w:endnote>
  <w:endnote w:type="continuationSeparator" w:id="0">
    <w:p w:rsidR="005F3320" w:rsidRDefault="005F3320" w:rsidP="0057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26" w:rsidRDefault="00CD6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925283"/>
      <w:docPartObj>
        <w:docPartGallery w:val="Page Numbers (Bottom of Page)"/>
        <w:docPartUnique/>
      </w:docPartObj>
    </w:sdtPr>
    <w:sdtEndPr/>
    <w:sdtContent>
      <w:p w:rsidR="005F3320" w:rsidRDefault="00C35CEA">
        <w:pPr>
          <w:pStyle w:val="Footer"/>
          <w:jc w:val="right"/>
        </w:pPr>
        <w:r w:rsidRPr="00C03488">
          <w:rPr>
            <w:rFonts w:asciiTheme="minorHAnsi" w:hAnsiTheme="minorHAnsi"/>
            <w:sz w:val="18"/>
            <w:szCs w:val="18"/>
          </w:rPr>
          <w:fldChar w:fldCharType="begin"/>
        </w:r>
        <w:r w:rsidR="005F3320" w:rsidRPr="00C0348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03488">
          <w:rPr>
            <w:rFonts w:asciiTheme="minorHAnsi" w:hAnsiTheme="minorHAnsi"/>
            <w:sz w:val="18"/>
            <w:szCs w:val="18"/>
          </w:rPr>
          <w:fldChar w:fldCharType="separate"/>
        </w:r>
        <w:r w:rsidR="00CD6226">
          <w:rPr>
            <w:rFonts w:asciiTheme="minorHAnsi" w:hAnsiTheme="minorHAnsi"/>
            <w:noProof/>
            <w:sz w:val="18"/>
            <w:szCs w:val="18"/>
          </w:rPr>
          <w:t>2</w:t>
        </w:r>
        <w:r w:rsidRPr="00C0348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F3320" w:rsidRPr="00AA2E97" w:rsidRDefault="005F3320" w:rsidP="00C03488">
    <w:pPr>
      <w:pStyle w:val="Footer"/>
      <w:pBdr>
        <w:bottom w:val="single" w:sz="24" w:space="1" w:color="174B25"/>
      </w:pBdr>
      <w:spacing w:line="216" w:lineRule="auto"/>
      <w:rPr>
        <w:color w:val="141647"/>
        <w:sz w:val="16"/>
        <w:szCs w:val="16"/>
        <w:lang w:val="en-CA"/>
      </w:rPr>
    </w:pPr>
  </w:p>
  <w:p w:rsidR="005F3320" w:rsidRPr="00AA2E97" w:rsidRDefault="005F3320" w:rsidP="00C03488">
    <w:pPr>
      <w:pStyle w:val="Footer"/>
      <w:spacing w:line="216" w:lineRule="auto"/>
      <w:rPr>
        <w:color w:val="141647"/>
        <w:sz w:val="16"/>
        <w:szCs w:val="16"/>
      </w:rPr>
    </w:pPr>
  </w:p>
  <w:p w:rsidR="005F3320" w:rsidRPr="00124676" w:rsidRDefault="005F3320" w:rsidP="00C03488">
    <w:pPr>
      <w:pStyle w:val="Footer"/>
      <w:spacing w:line="216" w:lineRule="auto"/>
      <w:jc w:val="center"/>
      <w:rPr>
        <w:color w:val="141647"/>
        <w:lang w:val="en-CA"/>
      </w:rPr>
    </w:pPr>
    <w:r w:rsidRPr="00867C55">
      <w:rPr>
        <w:rFonts w:ascii="Arial" w:hAnsi="Arial" w:cs="Arial"/>
        <w:bCs/>
        <w:color w:val="002060"/>
      </w:rPr>
      <w:t>For more information please cont</w:t>
    </w:r>
    <w:r>
      <w:rPr>
        <w:rFonts w:ascii="Arial" w:hAnsi="Arial" w:cs="Arial"/>
        <w:bCs/>
        <w:color w:val="002060"/>
      </w:rPr>
      <w:t>act Valia Theodoraki or Sandy McFarlane</w:t>
    </w:r>
    <w:r w:rsidRPr="00867C55">
      <w:rPr>
        <w:rFonts w:ascii="Arial" w:hAnsi="Arial" w:cs="Arial"/>
        <w:bCs/>
        <w:color w:val="002060"/>
      </w:rPr>
      <w:t xml:space="preserve"> | </w:t>
    </w:r>
    <w:r w:rsidRPr="00867C55">
      <w:rPr>
        <w:rFonts w:ascii="Arial" w:hAnsi="Arial" w:cs="Arial"/>
        <w:bCs/>
        <w:color w:val="002060"/>
      </w:rPr>
      <w:br/>
      <w:t xml:space="preserve">+1 (345) 945-6060 | </w:t>
    </w:r>
    <w:r w:rsidRPr="00B14D45">
      <w:rPr>
        <w:lang w:val="en-CA"/>
      </w:rPr>
      <w:t>csx@csx.ky</w:t>
    </w:r>
    <w:r>
      <w:rPr>
        <w:color w:val="141647"/>
      </w:rPr>
      <w:t xml:space="preserve"> </w:t>
    </w:r>
    <w:r w:rsidRPr="00867C55">
      <w:rPr>
        <w:rFonts w:ascii="Arial" w:hAnsi="Arial" w:cs="Arial"/>
        <w:bCs/>
        <w:color w:val="002060"/>
      </w:rPr>
      <w:t>|</w:t>
    </w:r>
    <w:r>
      <w:rPr>
        <w:color w:val="141647"/>
      </w:rPr>
      <w:t xml:space="preserve"> </w:t>
    </w:r>
    <w:r w:rsidRPr="00B14D45">
      <w:t>www.csx.ky</w:t>
    </w:r>
  </w:p>
  <w:p w:rsidR="005F3320" w:rsidRDefault="005F3320" w:rsidP="0099675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20" w:rsidRPr="00AA2E97" w:rsidRDefault="005F3320" w:rsidP="00957EA4">
    <w:pPr>
      <w:pStyle w:val="Footer"/>
      <w:pBdr>
        <w:bottom w:val="single" w:sz="24" w:space="1" w:color="174B25"/>
      </w:pBdr>
      <w:spacing w:line="216" w:lineRule="auto"/>
      <w:rPr>
        <w:color w:val="141647"/>
        <w:sz w:val="16"/>
        <w:szCs w:val="16"/>
        <w:lang w:val="en-CA"/>
      </w:rPr>
    </w:pPr>
  </w:p>
  <w:p w:rsidR="005F3320" w:rsidRPr="00AA2E97" w:rsidRDefault="005F3320" w:rsidP="00957EA4">
    <w:pPr>
      <w:pStyle w:val="Footer"/>
      <w:spacing w:line="216" w:lineRule="auto"/>
      <w:rPr>
        <w:color w:val="141647"/>
        <w:sz w:val="16"/>
        <w:szCs w:val="16"/>
      </w:rPr>
    </w:pPr>
  </w:p>
  <w:p w:rsidR="00CD6226" w:rsidRPr="006B33C2" w:rsidRDefault="00CD6226" w:rsidP="00CD6226">
    <w:pPr>
      <w:pStyle w:val="Footer"/>
      <w:jc w:val="center"/>
      <w:rPr>
        <w:rFonts w:asciiTheme="majorHAnsi" w:hAnsiTheme="majorHAnsi"/>
      </w:rPr>
    </w:pPr>
    <w:r w:rsidRPr="006B33C2">
      <w:rPr>
        <w:rFonts w:asciiTheme="majorHAnsi" w:hAnsiTheme="majorHAnsi" w:cs="Arial"/>
        <w:bCs/>
        <w:color w:val="002060"/>
      </w:rPr>
      <w:t xml:space="preserve">For more information please contact Listing Department </w:t>
    </w:r>
    <w:r w:rsidRPr="006B33C2">
      <w:rPr>
        <w:rFonts w:asciiTheme="majorHAnsi" w:hAnsiTheme="majorHAnsi" w:cs="Arial"/>
        <w:bCs/>
        <w:color w:val="002060"/>
      </w:rPr>
      <w:br/>
      <w:t xml:space="preserve">+1 (345) 945-6060 | </w:t>
    </w:r>
    <w:hyperlink r:id="rId1" w:history="1">
      <w:r w:rsidRPr="006B33C2">
        <w:rPr>
          <w:rStyle w:val="Hyperlink"/>
          <w:rFonts w:asciiTheme="majorHAnsi" w:hAnsiTheme="majorHAnsi"/>
          <w:lang w:val="en-CA"/>
        </w:rPr>
        <w:t>listing@csx.ky</w:t>
      </w:r>
    </w:hyperlink>
    <w:r w:rsidRPr="006B33C2">
      <w:rPr>
        <w:rFonts w:asciiTheme="majorHAnsi" w:hAnsiTheme="majorHAnsi"/>
        <w:color w:val="141647"/>
      </w:rPr>
      <w:t xml:space="preserve"> </w:t>
    </w:r>
    <w:r w:rsidRPr="006B33C2">
      <w:rPr>
        <w:rFonts w:asciiTheme="majorHAnsi" w:hAnsiTheme="majorHAnsi" w:cs="Arial"/>
        <w:bCs/>
        <w:color w:val="002060"/>
      </w:rPr>
      <w:t>|</w:t>
    </w:r>
    <w:r w:rsidRPr="006B33C2">
      <w:rPr>
        <w:rFonts w:asciiTheme="majorHAnsi" w:hAnsiTheme="majorHAnsi"/>
        <w:color w:val="141647"/>
      </w:rPr>
      <w:t xml:space="preserve"> </w:t>
    </w:r>
    <w:hyperlink r:id="rId2" w:history="1">
      <w:r w:rsidRPr="006B33C2">
        <w:rPr>
          <w:rStyle w:val="Hyperlink"/>
          <w:rFonts w:asciiTheme="majorHAnsi" w:hAnsiTheme="majorHAnsi"/>
        </w:rPr>
        <w:t>www.csx.ky</w:t>
      </w:r>
    </w:hyperlink>
  </w:p>
  <w:p w:rsidR="005F3320" w:rsidRPr="00124676" w:rsidRDefault="005F3320" w:rsidP="00957EA4">
    <w:pPr>
      <w:pStyle w:val="Footer"/>
      <w:spacing w:line="216" w:lineRule="auto"/>
      <w:jc w:val="center"/>
      <w:rPr>
        <w:color w:val="141647"/>
        <w:lang w:val="en-CA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20" w:rsidRDefault="005F3320" w:rsidP="005765DA">
      <w:r>
        <w:separator/>
      </w:r>
    </w:p>
  </w:footnote>
  <w:footnote w:type="continuationSeparator" w:id="0">
    <w:p w:rsidR="005F3320" w:rsidRDefault="005F3320" w:rsidP="0057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26" w:rsidRDefault="00CD6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single" w:sz="36" w:space="0" w:color="174B25"/>
        <w:right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4524"/>
    </w:tblGrid>
    <w:tr w:rsidR="005F3320" w:rsidRPr="00B54631" w:rsidTr="00294278">
      <w:tc>
        <w:tcPr>
          <w:tcW w:w="5016" w:type="dxa"/>
          <w:tcBorders>
            <w:right w:val="single" w:sz="8" w:space="0" w:color="174B25"/>
          </w:tcBorders>
        </w:tcPr>
        <w:p w:rsidR="005F3320" w:rsidRPr="00653934" w:rsidRDefault="005F3320" w:rsidP="00294278">
          <w:pPr>
            <w:tabs>
              <w:tab w:val="left" w:pos="3348"/>
            </w:tabs>
            <w:rPr>
              <w:rFonts w:ascii="Arial" w:hAnsi="Arial" w:cs="Arial"/>
              <w:color w:val="1D1F64"/>
              <w:lang w:val="en-CA"/>
            </w:rPr>
          </w:pPr>
          <w:r w:rsidRPr="00B54631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-156845</wp:posOffset>
                </wp:positionV>
                <wp:extent cx="2968625" cy="767080"/>
                <wp:effectExtent l="0" t="0" r="317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 rotWithShape="1">
                        <a:blip r:embed="rId1"/>
                        <a:srcRect l="2283" t="8731" r="2631" b="7142"/>
                        <a:stretch/>
                      </pic:blipFill>
                      <pic:spPr>
                        <a:xfrm>
                          <a:off x="0" y="0"/>
                          <a:ext cx="296862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4" w:type="dxa"/>
          <w:tcBorders>
            <w:top w:val="nil"/>
            <w:left w:val="single" w:sz="8" w:space="0" w:color="174B25"/>
            <w:bottom w:val="single" w:sz="36" w:space="0" w:color="174B25"/>
          </w:tcBorders>
          <w:vAlign w:val="center"/>
        </w:tcPr>
        <w:p w:rsidR="005F3320" w:rsidRDefault="005F3320" w:rsidP="002607F4">
          <w:pPr>
            <w:jc w:val="center"/>
            <w:rPr>
              <w:rFonts w:asciiTheme="majorHAnsi" w:hAnsiTheme="majorHAnsi" w:cs="Arial"/>
              <w:b/>
              <w:color w:val="1D1F64"/>
              <w:sz w:val="40"/>
              <w:szCs w:val="40"/>
              <w:lang w:val="en-CA"/>
            </w:rPr>
          </w:pPr>
          <w:r>
            <w:rPr>
              <w:rFonts w:asciiTheme="majorHAnsi" w:hAnsiTheme="majorHAnsi" w:cs="Arial"/>
              <w:b/>
              <w:color w:val="1D1F64"/>
              <w:sz w:val="40"/>
              <w:szCs w:val="40"/>
              <w:lang w:val="en-CA"/>
            </w:rPr>
            <w:t>Investment Funds:</w:t>
          </w:r>
        </w:p>
        <w:p w:rsidR="005F3320" w:rsidRDefault="005F3320" w:rsidP="002607F4">
          <w:pPr>
            <w:jc w:val="center"/>
            <w:rPr>
              <w:rFonts w:asciiTheme="majorHAnsi" w:hAnsiTheme="majorHAnsi" w:cs="Arial"/>
              <w:b/>
              <w:color w:val="1D1F64"/>
              <w:sz w:val="40"/>
              <w:szCs w:val="40"/>
              <w:lang w:val="en-CA"/>
            </w:rPr>
          </w:pPr>
          <w:r>
            <w:rPr>
              <w:rFonts w:asciiTheme="majorHAnsi" w:hAnsiTheme="majorHAnsi" w:cs="Arial"/>
              <w:b/>
              <w:color w:val="1D1F64"/>
              <w:sz w:val="40"/>
              <w:szCs w:val="40"/>
              <w:lang w:val="en-CA"/>
            </w:rPr>
            <w:t>ANNUAL REVIEW</w:t>
          </w:r>
        </w:p>
        <w:p w:rsidR="005F3320" w:rsidRPr="002607F4" w:rsidRDefault="005F3320" w:rsidP="002607F4">
          <w:pPr>
            <w:jc w:val="center"/>
            <w:rPr>
              <w:rFonts w:asciiTheme="majorHAnsi" w:hAnsiTheme="majorHAnsi" w:cs="Arial"/>
              <w:b/>
              <w:color w:val="1D1F64"/>
              <w:sz w:val="40"/>
              <w:szCs w:val="40"/>
              <w:lang w:val="en-CA"/>
            </w:rPr>
          </w:pPr>
          <w:r>
            <w:rPr>
              <w:rFonts w:asciiTheme="majorHAnsi" w:hAnsiTheme="majorHAnsi" w:cs="Arial"/>
              <w:b/>
              <w:color w:val="1D1F64"/>
              <w:sz w:val="40"/>
              <w:szCs w:val="40"/>
              <w:lang w:val="en-CA"/>
            </w:rPr>
            <w:t>(Primary listed)</w:t>
          </w:r>
        </w:p>
      </w:tc>
    </w:tr>
  </w:tbl>
  <w:p w:rsidR="005F3320" w:rsidRDefault="005F3320" w:rsidP="00BD7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26" w:rsidRDefault="00CD6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EC5"/>
    <w:multiLevelType w:val="hybridMultilevel"/>
    <w:tmpl w:val="7F2AF3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15A03"/>
    <w:multiLevelType w:val="hybridMultilevel"/>
    <w:tmpl w:val="CE08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14DFC6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Lucida Grande" w:hAnsi="Lucida Grande" w:hint="default"/>
      </w:rPr>
    </w:lvl>
    <w:lvl w:ilvl="2" w:tplc="332C930E" w:tentative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3" w:tplc="2E2A6304" w:tentative="1">
      <w:start w:val="1"/>
      <w:numFmt w:val="bullet"/>
      <w:lvlText w:val="~"/>
      <w:lvlJc w:val="left"/>
      <w:pPr>
        <w:tabs>
          <w:tab w:val="num" w:pos="2520"/>
        </w:tabs>
        <w:ind w:left="2520" w:hanging="360"/>
      </w:pPr>
      <w:rPr>
        <w:rFonts w:ascii="Lucida Grande" w:hAnsi="Lucida Grande" w:hint="default"/>
      </w:rPr>
    </w:lvl>
    <w:lvl w:ilvl="4" w:tplc="E4E82054" w:tentative="1">
      <w:start w:val="1"/>
      <w:numFmt w:val="bullet"/>
      <w:lvlText w:val="~"/>
      <w:lvlJc w:val="left"/>
      <w:pPr>
        <w:tabs>
          <w:tab w:val="num" w:pos="3240"/>
        </w:tabs>
        <w:ind w:left="3240" w:hanging="360"/>
      </w:pPr>
      <w:rPr>
        <w:rFonts w:ascii="Lucida Grande" w:hAnsi="Lucida Grande" w:hint="default"/>
      </w:rPr>
    </w:lvl>
    <w:lvl w:ilvl="5" w:tplc="B1DCBB82" w:tentative="1">
      <w:start w:val="1"/>
      <w:numFmt w:val="bullet"/>
      <w:lvlText w:val="~"/>
      <w:lvlJc w:val="left"/>
      <w:pPr>
        <w:tabs>
          <w:tab w:val="num" w:pos="3960"/>
        </w:tabs>
        <w:ind w:left="3960" w:hanging="360"/>
      </w:pPr>
      <w:rPr>
        <w:rFonts w:ascii="Lucida Grande" w:hAnsi="Lucida Grande" w:hint="default"/>
      </w:rPr>
    </w:lvl>
    <w:lvl w:ilvl="6" w:tplc="E6921B76" w:tentative="1">
      <w:start w:val="1"/>
      <w:numFmt w:val="bullet"/>
      <w:lvlText w:val="~"/>
      <w:lvlJc w:val="left"/>
      <w:pPr>
        <w:tabs>
          <w:tab w:val="num" w:pos="4680"/>
        </w:tabs>
        <w:ind w:left="4680" w:hanging="360"/>
      </w:pPr>
      <w:rPr>
        <w:rFonts w:ascii="Lucida Grande" w:hAnsi="Lucida Grande" w:hint="default"/>
      </w:rPr>
    </w:lvl>
    <w:lvl w:ilvl="7" w:tplc="DC6A5B42" w:tentative="1">
      <w:start w:val="1"/>
      <w:numFmt w:val="bullet"/>
      <w:lvlText w:val="~"/>
      <w:lvlJc w:val="left"/>
      <w:pPr>
        <w:tabs>
          <w:tab w:val="num" w:pos="5400"/>
        </w:tabs>
        <w:ind w:left="5400" w:hanging="360"/>
      </w:pPr>
      <w:rPr>
        <w:rFonts w:ascii="Lucida Grande" w:hAnsi="Lucida Grande" w:hint="default"/>
      </w:rPr>
    </w:lvl>
    <w:lvl w:ilvl="8" w:tplc="5DB2D53E" w:tentative="1">
      <w:start w:val="1"/>
      <w:numFmt w:val="bullet"/>
      <w:lvlText w:val="~"/>
      <w:lvlJc w:val="left"/>
      <w:pPr>
        <w:tabs>
          <w:tab w:val="num" w:pos="6120"/>
        </w:tabs>
        <w:ind w:left="6120" w:hanging="360"/>
      </w:pPr>
      <w:rPr>
        <w:rFonts w:ascii="Lucida Grande" w:hAnsi="Lucida Grande" w:hint="default"/>
      </w:rPr>
    </w:lvl>
  </w:abstractNum>
  <w:abstractNum w:abstractNumId="2" w15:restartNumberingAfterBreak="0">
    <w:nsid w:val="070615F1"/>
    <w:multiLevelType w:val="hybridMultilevel"/>
    <w:tmpl w:val="D1544082"/>
    <w:lvl w:ilvl="0" w:tplc="F74E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F08"/>
    <w:multiLevelType w:val="hybridMultilevel"/>
    <w:tmpl w:val="AA0C0986"/>
    <w:lvl w:ilvl="0" w:tplc="D83A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6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2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2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66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8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4E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867ED2"/>
    <w:multiLevelType w:val="hybridMultilevel"/>
    <w:tmpl w:val="3CB09BF0"/>
    <w:lvl w:ilvl="0" w:tplc="2932C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E6D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C6DA6"/>
    <w:multiLevelType w:val="hybridMultilevel"/>
    <w:tmpl w:val="35D6E466"/>
    <w:lvl w:ilvl="0" w:tplc="C934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06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0516"/>
    <w:multiLevelType w:val="hybridMultilevel"/>
    <w:tmpl w:val="B430111E"/>
    <w:lvl w:ilvl="0" w:tplc="0256E078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Lucida Grande" w:hAnsi="Lucida Grande" w:hint="default"/>
      </w:rPr>
    </w:lvl>
    <w:lvl w:ilvl="1" w:tplc="E214DFC6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Lucida Grande" w:hAnsi="Lucida Grande" w:hint="default"/>
      </w:rPr>
    </w:lvl>
    <w:lvl w:ilvl="2" w:tplc="332C930E" w:tentative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3" w:tplc="2E2A6304" w:tentative="1">
      <w:start w:val="1"/>
      <w:numFmt w:val="bullet"/>
      <w:lvlText w:val="~"/>
      <w:lvlJc w:val="left"/>
      <w:pPr>
        <w:tabs>
          <w:tab w:val="num" w:pos="2520"/>
        </w:tabs>
        <w:ind w:left="2520" w:hanging="360"/>
      </w:pPr>
      <w:rPr>
        <w:rFonts w:ascii="Lucida Grande" w:hAnsi="Lucida Grande" w:hint="default"/>
      </w:rPr>
    </w:lvl>
    <w:lvl w:ilvl="4" w:tplc="E4E82054" w:tentative="1">
      <w:start w:val="1"/>
      <w:numFmt w:val="bullet"/>
      <w:lvlText w:val="~"/>
      <w:lvlJc w:val="left"/>
      <w:pPr>
        <w:tabs>
          <w:tab w:val="num" w:pos="3240"/>
        </w:tabs>
        <w:ind w:left="3240" w:hanging="360"/>
      </w:pPr>
      <w:rPr>
        <w:rFonts w:ascii="Lucida Grande" w:hAnsi="Lucida Grande" w:hint="default"/>
      </w:rPr>
    </w:lvl>
    <w:lvl w:ilvl="5" w:tplc="B1DCBB82" w:tentative="1">
      <w:start w:val="1"/>
      <w:numFmt w:val="bullet"/>
      <w:lvlText w:val="~"/>
      <w:lvlJc w:val="left"/>
      <w:pPr>
        <w:tabs>
          <w:tab w:val="num" w:pos="3960"/>
        </w:tabs>
        <w:ind w:left="3960" w:hanging="360"/>
      </w:pPr>
      <w:rPr>
        <w:rFonts w:ascii="Lucida Grande" w:hAnsi="Lucida Grande" w:hint="default"/>
      </w:rPr>
    </w:lvl>
    <w:lvl w:ilvl="6" w:tplc="E6921B76" w:tentative="1">
      <w:start w:val="1"/>
      <w:numFmt w:val="bullet"/>
      <w:lvlText w:val="~"/>
      <w:lvlJc w:val="left"/>
      <w:pPr>
        <w:tabs>
          <w:tab w:val="num" w:pos="4680"/>
        </w:tabs>
        <w:ind w:left="4680" w:hanging="360"/>
      </w:pPr>
      <w:rPr>
        <w:rFonts w:ascii="Lucida Grande" w:hAnsi="Lucida Grande" w:hint="default"/>
      </w:rPr>
    </w:lvl>
    <w:lvl w:ilvl="7" w:tplc="DC6A5B42" w:tentative="1">
      <w:start w:val="1"/>
      <w:numFmt w:val="bullet"/>
      <w:lvlText w:val="~"/>
      <w:lvlJc w:val="left"/>
      <w:pPr>
        <w:tabs>
          <w:tab w:val="num" w:pos="5400"/>
        </w:tabs>
        <w:ind w:left="5400" w:hanging="360"/>
      </w:pPr>
      <w:rPr>
        <w:rFonts w:ascii="Lucida Grande" w:hAnsi="Lucida Grande" w:hint="default"/>
      </w:rPr>
    </w:lvl>
    <w:lvl w:ilvl="8" w:tplc="5DB2D53E" w:tentative="1">
      <w:start w:val="1"/>
      <w:numFmt w:val="bullet"/>
      <w:lvlText w:val="~"/>
      <w:lvlJc w:val="left"/>
      <w:pPr>
        <w:tabs>
          <w:tab w:val="num" w:pos="6120"/>
        </w:tabs>
        <w:ind w:left="6120" w:hanging="360"/>
      </w:pPr>
      <w:rPr>
        <w:rFonts w:ascii="Lucida Grande" w:hAnsi="Lucida Grande" w:hint="default"/>
      </w:rPr>
    </w:lvl>
  </w:abstractNum>
  <w:abstractNum w:abstractNumId="7" w15:restartNumberingAfterBreak="0">
    <w:nsid w:val="14135E27"/>
    <w:multiLevelType w:val="hybridMultilevel"/>
    <w:tmpl w:val="73ACE9E6"/>
    <w:lvl w:ilvl="0" w:tplc="11FA02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06B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C2B78"/>
    <w:multiLevelType w:val="hybridMultilevel"/>
    <w:tmpl w:val="9B64E720"/>
    <w:lvl w:ilvl="0" w:tplc="CB6C750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F51"/>
    <w:multiLevelType w:val="hybridMultilevel"/>
    <w:tmpl w:val="ABE29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E41B3"/>
    <w:multiLevelType w:val="hybridMultilevel"/>
    <w:tmpl w:val="58760426"/>
    <w:lvl w:ilvl="0" w:tplc="71D6A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6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4258A"/>
    <w:multiLevelType w:val="hybridMultilevel"/>
    <w:tmpl w:val="A02C69BE"/>
    <w:lvl w:ilvl="0" w:tplc="F74E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01C0"/>
    <w:multiLevelType w:val="hybridMultilevel"/>
    <w:tmpl w:val="D5969E2A"/>
    <w:lvl w:ilvl="0" w:tplc="AF48E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84E"/>
    <w:multiLevelType w:val="hybridMultilevel"/>
    <w:tmpl w:val="A02C69BE"/>
    <w:lvl w:ilvl="0" w:tplc="F74E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6D3D"/>
    <w:multiLevelType w:val="hybridMultilevel"/>
    <w:tmpl w:val="2326EF82"/>
    <w:lvl w:ilvl="0" w:tplc="55F02BD0">
      <w:start w:val="1"/>
      <w:numFmt w:val="lowerLetter"/>
      <w:lvlText w:val="(%1)"/>
      <w:lvlJc w:val="left"/>
      <w:pPr>
        <w:ind w:left="720" w:hanging="360"/>
      </w:pPr>
      <w:rPr>
        <w:rFonts w:asciiTheme="majorHAnsi" w:hAnsiTheme="majorHAnsi" w:cs="Century Gothic" w:hint="default"/>
        <w:color w:val="17365D" w:themeColor="text2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F56"/>
    <w:multiLevelType w:val="multilevel"/>
    <w:tmpl w:val="E6420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C51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6477E"/>
    <w:multiLevelType w:val="hybridMultilevel"/>
    <w:tmpl w:val="E1BECF72"/>
    <w:lvl w:ilvl="0" w:tplc="17C07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6D65"/>
    <w:multiLevelType w:val="hybridMultilevel"/>
    <w:tmpl w:val="5906A92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color w:val="A06B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A0CB9"/>
    <w:multiLevelType w:val="hybridMultilevel"/>
    <w:tmpl w:val="87040FC2"/>
    <w:lvl w:ilvl="0" w:tplc="2932C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E6D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03582C"/>
    <w:multiLevelType w:val="multilevel"/>
    <w:tmpl w:val="ABE296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22FCD"/>
    <w:multiLevelType w:val="hybridMultilevel"/>
    <w:tmpl w:val="65A0314A"/>
    <w:lvl w:ilvl="0" w:tplc="D1902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F1B50"/>
    <w:multiLevelType w:val="hybridMultilevel"/>
    <w:tmpl w:val="EBA6D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AF1BE6"/>
    <w:multiLevelType w:val="hybridMultilevel"/>
    <w:tmpl w:val="1CEA9374"/>
    <w:lvl w:ilvl="0" w:tplc="2FB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2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E8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7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01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AD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6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C640FF"/>
    <w:multiLevelType w:val="multilevel"/>
    <w:tmpl w:val="94A4C5D6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AE378F5"/>
    <w:multiLevelType w:val="hybridMultilevel"/>
    <w:tmpl w:val="8ADA3FE8"/>
    <w:lvl w:ilvl="0" w:tplc="11FA0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6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3AB4"/>
    <w:multiLevelType w:val="hybridMultilevel"/>
    <w:tmpl w:val="CCE044C2"/>
    <w:lvl w:ilvl="0" w:tplc="6218A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7B82"/>
    <w:multiLevelType w:val="hybridMultilevel"/>
    <w:tmpl w:val="E642085E"/>
    <w:lvl w:ilvl="0" w:tplc="EE886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C51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72356"/>
    <w:multiLevelType w:val="hybridMultilevel"/>
    <w:tmpl w:val="B4A25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DC4C11"/>
    <w:multiLevelType w:val="hybridMultilevel"/>
    <w:tmpl w:val="D25E2204"/>
    <w:lvl w:ilvl="0" w:tplc="11FA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6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67743"/>
    <w:multiLevelType w:val="hybridMultilevel"/>
    <w:tmpl w:val="B2CCBF0A"/>
    <w:lvl w:ilvl="0" w:tplc="334A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E5468"/>
    <w:multiLevelType w:val="hybridMultilevel"/>
    <w:tmpl w:val="1A929394"/>
    <w:lvl w:ilvl="0" w:tplc="91BE91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E426B"/>
    <w:multiLevelType w:val="multilevel"/>
    <w:tmpl w:val="E6420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C51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730BFE"/>
    <w:multiLevelType w:val="hybridMultilevel"/>
    <w:tmpl w:val="A41C2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D32F5"/>
    <w:multiLevelType w:val="hybridMultilevel"/>
    <w:tmpl w:val="BCBAC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A2FD7"/>
    <w:multiLevelType w:val="hybridMultilevel"/>
    <w:tmpl w:val="0DF8380C"/>
    <w:lvl w:ilvl="0" w:tplc="A5AE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6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7DB"/>
    <w:multiLevelType w:val="hybridMultilevel"/>
    <w:tmpl w:val="5526062C"/>
    <w:lvl w:ilvl="0" w:tplc="27B81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9071D"/>
    <w:multiLevelType w:val="hybridMultilevel"/>
    <w:tmpl w:val="23828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E4B746">
      <w:start w:val="1"/>
      <w:numFmt w:val="bullet"/>
      <w:lvlText w:val="–"/>
      <w:lvlJc w:val="left"/>
      <w:pPr>
        <w:ind w:left="1080" w:hanging="360"/>
      </w:pPr>
      <w:rPr>
        <w:rFonts w:ascii="Helvetica" w:hAnsi="Helvetic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A81E5B"/>
    <w:multiLevelType w:val="multilevel"/>
    <w:tmpl w:val="F5708832"/>
    <w:lvl w:ilvl="0">
      <w:start w:val="1"/>
      <w:numFmt w:val="bullet"/>
      <w:pStyle w:val="MarketingBasic1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A06B24"/>
        <w:sz w:val="18"/>
        <w:szCs w:val="18"/>
      </w:rPr>
    </w:lvl>
    <w:lvl w:ilvl="1">
      <w:start w:val="1"/>
      <w:numFmt w:val="bullet"/>
      <w:pStyle w:val="MarketingBasic2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color w:val="A06B24"/>
        <w:sz w:val="18"/>
        <w:szCs w:val="18"/>
      </w:rPr>
    </w:lvl>
    <w:lvl w:ilvl="2">
      <w:start w:val="1"/>
      <w:numFmt w:val="lowerRoman"/>
      <w:pStyle w:val="MarketingBasic3"/>
      <w:lvlText w:val="(%3)"/>
      <w:lvlJc w:val="left"/>
      <w:pPr>
        <w:ind w:left="2160" w:hanging="720"/>
      </w:pPr>
      <w:rPr>
        <w:rFonts w:cs="Times New Roman"/>
        <w:b w:val="0"/>
        <w:i w:val="0"/>
        <w:sz w:val="18"/>
        <w:szCs w:val="18"/>
      </w:rPr>
    </w:lvl>
    <w:lvl w:ilvl="3">
      <w:start w:val="1"/>
      <w:numFmt w:val="upperLetter"/>
      <w:pStyle w:val="MarketingBasic4"/>
      <w:lvlText w:val="(%4)"/>
      <w:lvlJc w:val="left"/>
      <w:pPr>
        <w:ind w:left="2880" w:hanging="720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decimal"/>
      <w:pStyle w:val="MarketingBasic5"/>
      <w:lvlText w:val="(%5)"/>
      <w:lvlJc w:val="left"/>
      <w:pPr>
        <w:ind w:left="3600" w:hanging="720"/>
      </w:pPr>
      <w:rPr>
        <w:rFonts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8" w15:restartNumberingAfterBreak="0">
    <w:nsid w:val="7DCD058E"/>
    <w:multiLevelType w:val="multilevel"/>
    <w:tmpl w:val="94A4C5D6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DFE5CF4"/>
    <w:multiLevelType w:val="hybridMultilevel"/>
    <w:tmpl w:val="B39624C4"/>
    <w:lvl w:ilvl="0" w:tplc="11FA0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06B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6"/>
  </w:num>
  <w:num w:numId="5">
    <w:abstractNumId w:val="15"/>
  </w:num>
  <w:num w:numId="6">
    <w:abstractNumId w:val="4"/>
  </w:num>
  <w:num w:numId="7">
    <w:abstractNumId w:val="24"/>
  </w:num>
  <w:num w:numId="8">
    <w:abstractNumId w:val="10"/>
  </w:num>
  <w:num w:numId="9">
    <w:abstractNumId w:val="31"/>
  </w:num>
  <w:num w:numId="10">
    <w:abstractNumId w:val="18"/>
  </w:num>
  <w:num w:numId="11">
    <w:abstractNumId w:val="27"/>
  </w:num>
  <w:num w:numId="12">
    <w:abstractNumId w:val="21"/>
  </w:num>
  <w:num w:numId="13">
    <w:abstractNumId w:val="36"/>
  </w:num>
  <w:num w:numId="14">
    <w:abstractNumId w:val="32"/>
  </w:num>
  <w:num w:numId="15">
    <w:abstractNumId w:val="1"/>
  </w:num>
  <w:num w:numId="16">
    <w:abstractNumId w:val="37"/>
  </w:num>
  <w:num w:numId="17">
    <w:abstractNumId w:val="37"/>
  </w:num>
  <w:num w:numId="18">
    <w:abstractNumId w:val="34"/>
  </w:num>
  <w:num w:numId="19">
    <w:abstractNumId w:val="5"/>
  </w:num>
  <w:num w:numId="20">
    <w:abstractNumId w:val="22"/>
  </w:num>
  <w:num w:numId="21">
    <w:abstractNumId w:val="3"/>
  </w:num>
  <w:num w:numId="22">
    <w:abstractNumId w:val="39"/>
  </w:num>
  <w:num w:numId="23">
    <w:abstractNumId w:val="28"/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8"/>
  </w:num>
  <w:num w:numId="30">
    <w:abstractNumId w:val="29"/>
  </w:num>
  <w:num w:numId="31">
    <w:abstractNumId w:val="0"/>
  </w:num>
  <w:num w:numId="32">
    <w:abstractNumId w:val="17"/>
  </w:num>
  <w:num w:numId="33">
    <w:abstractNumId w:val="7"/>
  </w:num>
  <w:num w:numId="34">
    <w:abstractNumId w:val="7"/>
  </w:num>
  <w:num w:numId="35">
    <w:abstractNumId w:val="17"/>
  </w:num>
  <w:num w:numId="36">
    <w:abstractNumId w:val="20"/>
  </w:num>
  <w:num w:numId="37">
    <w:abstractNumId w:val="25"/>
  </w:num>
  <w:num w:numId="38">
    <w:abstractNumId w:val="35"/>
  </w:num>
  <w:num w:numId="39">
    <w:abstractNumId w:val="33"/>
  </w:num>
  <w:num w:numId="40">
    <w:abstractNumId w:val="12"/>
  </w:num>
  <w:num w:numId="41">
    <w:abstractNumId w:val="13"/>
  </w:num>
  <w:num w:numId="42">
    <w:abstractNumId w:val="8"/>
  </w:num>
  <w:num w:numId="43">
    <w:abstractNumId w:val="23"/>
  </w:num>
  <w:num w:numId="44">
    <w:abstractNumId w:val="14"/>
  </w:num>
  <w:num w:numId="45">
    <w:abstractNumId w:val="11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A47"/>
    <w:rsid w:val="000009EB"/>
    <w:rsid w:val="00021F80"/>
    <w:rsid w:val="00034AA7"/>
    <w:rsid w:val="000404B5"/>
    <w:rsid w:val="00061886"/>
    <w:rsid w:val="00061E43"/>
    <w:rsid w:val="00065AF0"/>
    <w:rsid w:val="00074091"/>
    <w:rsid w:val="00081DB3"/>
    <w:rsid w:val="000B44DD"/>
    <w:rsid w:val="000C77C1"/>
    <w:rsid w:val="000D12AA"/>
    <w:rsid w:val="000D7D3A"/>
    <w:rsid w:val="000E0032"/>
    <w:rsid w:val="000E6F16"/>
    <w:rsid w:val="00105E31"/>
    <w:rsid w:val="0010752D"/>
    <w:rsid w:val="001146DF"/>
    <w:rsid w:val="00115901"/>
    <w:rsid w:val="00115ACC"/>
    <w:rsid w:val="00123C37"/>
    <w:rsid w:val="00124676"/>
    <w:rsid w:val="00132304"/>
    <w:rsid w:val="00135BEE"/>
    <w:rsid w:val="00140A9A"/>
    <w:rsid w:val="00153979"/>
    <w:rsid w:val="0015556F"/>
    <w:rsid w:val="00155705"/>
    <w:rsid w:val="00170B6F"/>
    <w:rsid w:val="00172BDA"/>
    <w:rsid w:val="00173833"/>
    <w:rsid w:val="0017415F"/>
    <w:rsid w:val="00186C41"/>
    <w:rsid w:val="001A2DC5"/>
    <w:rsid w:val="001C447C"/>
    <w:rsid w:val="001E12B1"/>
    <w:rsid w:val="001F3E33"/>
    <w:rsid w:val="002169F3"/>
    <w:rsid w:val="00217A77"/>
    <w:rsid w:val="00225AB0"/>
    <w:rsid w:val="00226DA0"/>
    <w:rsid w:val="002351EC"/>
    <w:rsid w:val="00241776"/>
    <w:rsid w:val="002451E9"/>
    <w:rsid w:val="0024577D"/>
    <w:rsid w:val="002607F4"/>
    <w:rsid w:val="00277EDF"/>
    <w:rsid w:val="00294278"/>
    <w:rsid w:val="00294355"/>
    <w:rsid w:val="002A74E2"/>
    <w:rsid w:val="002C4349"/>
    <w:rsid w:val="002F5F14"/>
    <w:rsid w:val="00314E00"/>
    <w:rsid w:val="00315E9A"/>
    <w:rsid w:val="00317DDF"/>
    <w:rsid w:val="0033227C"/>
    <w:rsid w:val="00332DF5"/>
    <w:rsid w:val="003432B3"/>
    <w:rsid w:val="00346CFC"/>
    <w:rsid w:val="00351811"/>
    <w:rsid w:val="003567C1"/>
    <w:rsid w:val="003571F2"/>
    <w:rsid w:val="003607C6"/>
    <w:rsid w:val="00371777"/>
    <w:rsid w:val="003834D7"/>
    <w:rsid w:val="003847AB"/>
    <w:rsid w:val="0039423B"/>
    <w:rsid w:val="003A0099"/>
    <w:rsid w:val="003A1698"/>
    <w:rsid w:val="003A2294"/>
    <w:rsid w:val="003B4C60"/>
    <w:rsid w:val="003C64DF"/>
    <w:rsid w:val="003D1F8C"/>
    <w:rsid w:val="003D4EF4"/>
    <w:rsid w:val="003E1F6E"/>
    <w:rsid w:val="003E5BDA"/>
    <w:rsid w:val="003F2883"/>
    <w:rsid w:val="00403FA3"/>
    <w:rsid w:val="0040523C"/>
    <w:rsid w:val="004247E9"/>
    <w:rsid w:val="00451281"/>
    <w:rsid w:val="004512FE"/>
    <w:rsid w:val="00453578"/>
    <w:rsid w:val="004723AF"/>
    <w:rsid w:val="004726AA"/>
    <w:rsid w:val="0048507D"/>
    <w:rsid w:val="004850A8"/>
    <w:rsid w:val="00492587"/>
    <w:rsid w:val="00495146"/>
    <w:rsid w:val="00495C26"/>
    <w:rsid w:val="004B0141"/>
    <w:rsid w:val="004C35EA"/>
    <w:rsid w:val="004D4E0A"/>
    <w:rsid w:val="004E5594"/>
    <w:rsid w:val="004F1989"/>
    <w:rsid w:val="004F3486"/>
    <w:rsid w:val="005007FC"/>
    <w:rsid w:val="0050194E"/>
    <w:rsid w:val="005026A8"/>
    <w:rsid w:val="005047D8"/>
    <w:rsid w:val="00506DBD"/>
    <w:rsid w:val="00532545"/>
    <w:rsid w:val="005373D3"/>
    <w:rsid w:val="00542F60"/>
    <w:rsid w:val="00544999"/>
    <w:rsid w:val="00567F0A"/>
    <w:rsid w:val="0057204B"/>
    <w:rsid w:val="005723D6"/>
    <w:rsid w:val="005765DA"/>
    <w:rsid w:val="00580D01"/>
    <w:rsid w:val="00583FEE"/>
    <w:rsid w:val="00595F81"/>
    <w:rsid w:val="005A1351"/>
    <w:rsid w:val="005A74AB"/>
    <w:rsid w:val="005B10B0"/>
    <w:rsid w:val="005B6CEE"/>
    <w:rsid w:val="005C1887"/>
    <w:rsid w:val="005C32DC"/>
    <w:rsid w:val="005D0F0E"/>
    <w:rsid w:val="005D1B9F"/>
    <w:rsid w:val="005E422C"/>
    <w:rsid w:val="005F2AE9"/>
    <w:rsid w:val="005F3320"/>
    <w:rsid w:val="005F5A7E"/>
    <w:rsid w:val="006054B5"/>
    <w:rsid w:val="00607863"/>
    <w:rsid w:val="00632285"/>
    <w:rsid w:val="00643065"/>
    <w:rsid w:val="00653934"/>
    <w:rsid w:val="00655854"/>
    <w:rsid w:val="006754CD"/>
    <w:rsid w:val="006A5FC7"/>
    <w:rsid w:val="006A7045"/>
    <w:rsid w:val="006F32F8"/>
    <w:rsid w:val="006F6760"/>
    <w:rsid w:val="006F6F04"/>
    <w:rsid w:val="007127F5"/>
    <w:rsid w:val="00734F8B"/>
    <w:rsid w:val="00736A47"/>
    <w:rsid w:val="00751133"/>
    <w:rsid w:val="007548CE"/>
    <w:rsid w:val="0075645A"/>
    <w:rsid w:val="007909EA"/>
    <w:rsid w:val="007963BD"/>
    <w:rsid w:val="00796B9D"/>
    <w:rsid w:val="007A1EF7"/>
    <w:rsid w:val="007A5BBE"/>
    <w:rsid w:val="007E1047"/>
    <w:rsid w:val="007F19D9"/>
    <w:rsid w:val="0080236A"/>
    <w:rsid w:val="00803B1C"/>
    <w:rsid w:val="00812982"/>
    <w:rsid w:val="008132A6"/>
    <w:rsid w:val="00824FC5"/>
    <w:rsid w:val="00850A76"/>
    <w:rsid w:val="00867C55"/>
    <w:rsid w:val="00877A2B"/>
    <w:rsid w:val="00890906"/>
    <w:rsid w:val="008A6D0F"/>
    <w:rsid w:val="008F5AA1"/>
    <w:rsid w:val="008F6B0A"/>
    <w:rsid w:val="00900DE7"/>
    <w:rsid w:val="00927330"/>
    <w:rsid w:val="00930A9E"/>
    <w:rsid w:val="009321B7"/>
    <w:rsid w:val="00957EA4"/>
    <w:rsid w:val="00972955"/>
    <w:rsid w:val="009856A8"/>
    <w:rsid w:val="00985FDF"/>
    <w:rsid w:val="00995D72"/>
    <w:rsid w:val="00996751"/>
    <w:rsid w:val="009A11F4"/>
    <w:rsid w:val="009A6604"/>
    <w:rsid w:val="009D3C0A"/>
    <w:rsid w:val="009D524F"/>
    <w:rsid w:val="009E7F6C"/>
    <w:rsid w:val="009F0645"/>
    <w:rsid w:val="009F0F1D"/>
    <w:rsid w:val="00A31A84"/>
    <w:rsid w:val="00A355B1"/>
    <w:rsid w:val="00A4095C"/>
    <w:rsid w:val="00A4204D"/>
    <w:rsid w:val="00A503BE"/>
    <w:rsid w:val="00A70803"/>
    <w:rsid w:val="00A83F63"/>
    <w:rsid w:val="00A84A1B"/>
    <w:rsid w:val="00A8685C"/>
    <w:rsid w:val="00AA1CB2"/>
    <w:rsid w:val="00AA2E97"/>
    <w:rsid w:val="00AB13B7"/>
    <w:rsid w:val="00AC102D"/>
    <w:rsid w:val="00AC7086"/>
    <w:rsid w:val="00AD3CB3"/>
    <w:rsid w:val="00B026F0"/>
    <w:rsid w:val="00B14D45"/>
    <w:rsid w:val="00B31DD6"/>
    <w:rsid w:val="00B54631"/>
    <w:rsid w:val="00BA1A49"/>
    <w:rsid w:val="00BC11E8"/>
    <w:rsid w:val="00BC1219"/>
    <w:rsid w:val="00BC2254"/>
    <w:rsid w:val="00BC5619"/>
    <w:rsid w:val="00BD72BD"/>
    <w:rsid w:val="00BE0B40"/>
    <w:rsid w:val="00BF07AD"/>
    <w:rsid w:val="00BF100A"/>
    <w:rsid w:val="00BF7DDF"/>
    <w:rsid w:val="00C03488"/>
    <w:rsid w:val="00C07916"/>
    <w:rsid w:val="00C1208A"/>
    <w:rsid w:val="00C23BBD"/>
    <w:rsid w:val="00C35CEA"/>
    <w:rsid w:val="00C75CD0"/>
    <w:rsid w:val="00C900F7"/>
    <w:rsid w:val="00C947A8"/>
    <w:rsid w:val="00CA33D6"/>
    <w:rsid w:val="00CD4BAD"/>
    <w:rsid w:val="00CD6226"/>
    <w:rsid w:val="00CD6F9D"/>
    <w:rsid w:val="00CD7F03"/>
    <w:rsid w:val="00CE0DF0"/>
    <w:rsid w:val="00CE5821"/>
    <w:rsid w:val="00D00807"/>
    <w:rsid w:val="00D04773"/>
    <w:rsid w:val="00D11A12"/>
    <w:rsid w:val="00D127A4"/>
    <w:rsid w:val="00D23ECD"/>
    <w:rsid w:val="00D5114D"/>
    <w:rsid w:val="00D9481E"/>
    <w:rsid w:val="00DA3AF3"/>
    <w:rsid w:val="00DB545E"/>
    <w:rsid w:val="00DD10B2"/>
    <w:rsid w:val="00DD52A5"/>
    <w:rsid w:val="00DD625C"/>
    <w:rsid w:val="00DE075F"/>
    <w:rsid w:val="00DE358E"/>
    <w:rsid w:val="00DE7054"/>
    <w:rsid w:val="00DF071E"/>
    <w:rsid w:val="00DF1F3D"/>
    <w:rsid w:val="00DF600E"/>
    <w:rsid w:val="00E07349"/>
    <w:rsid w:val="00E157DD"/>
    <w:rsid w:val="00E20B75"/>
    <w:rsid w:val="00E40A47"/>
    <w:rsid w:val="00E85798"/>
    <w:rsid w:val="00E9669A"/>
    <w:rsid w:val="00EB3A13"/>
    <w:rsid w:val="00EB6C20"/>
    <w:rsid w:val="00EC302F"/>
    <w:rsid w:val="00ED7226"/>
    <w:rsid w:val="00EE64C1"/>
    <w:rsid w:val="00EF0999"/>
    <w:rsid w:val="00EF1020"/>
    <w:rsid w:val="00EF32AE"/>
    <w:rsid w:val="00F138C8"/>
    <w:rsid w:val="00F35346"/>
    <w:rsid w:val="00F5625C"/>
    <w:rsid w:val="00F73323"/>
    <w:rsid w:val="00F735DE"/>
    <w:rsid w:val="00F76029"/>
    <w:rsid w:val="00F7662A"/>
    <w:rsid w:val="00FA61F2"/>
    <w:rsid w:val="00FB6AE5"/>
    <w:rsid w:val="00FE4628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71AAB46"/>
  <w15:docId w15:val="{35C05BA1-72FD-410B-8F54-4E7D2A7A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5C"/>
  </w:style>
  <w:style w:type="paragraph" w:styleId="Heading1">
    <w:name w:val="heading 1"/>
    <w:basedOn w:val="Normal"/>
    <w:next w:val="Normal"/>
    <w:link w:val="Heading1Char"/>
    <w:uiPriority w:val="9"/>
    <w:qFormat/>
    <w:rsid w:val="000C7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A47"/>
    <w:pPr>
      <w:ind w:left="720"/>
      <w:contextualSpacing/>
    </w:pPr>
  </w:style>
  <w:style w:type="table" w:styleId="TableGrid">
    <w:name w:val="Table Grid"/>
    <w:basedOn w:val="TableNormal"/>
    <w:uiPriority w:val="59"/>
    <w:rsid w:val="0073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6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DA"/>
  </w:style>
  <w:style w:type="paragraph" w:styleId="Footer">
    <w:name w:val="footer"/>
    <w:basedOn w:val="Normal"/>
    <w:link w:val="FooterChar"/>
    <w:uiPriority w:val="99"/>
    <w:unhideWhenUsed/>
    <w:rsid w:val="00576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DA"/>
  </w:style>
  <w:style w:type="character" w:styleId="Hyperlink">
    <w:name w:val="Hyperlink"/>
    <w:basedOn w:val="DefaultParagraphFont"/>
    <w:uiPriority w:val="99"/>
    <w:unhideWhenUsed/>
    <w:rsid w:val="005A13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3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0C77C1"/>
    <w:pPr>
      <w:spacing w:after="240"/>
      <w:jc w:val="both"/>
    </w:pPr>
    <w:rPr>
      <w:rFonts w:ascii="Segoe UI" w:hAnsi="Segoe UI" w:cs="Century Gothic"/>
      <w:sz w:val="18"/>
      <w:szCs w:val="1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C77C1"/>
    <w:rPr>
      <w:rFonts w:ascii="Segoe UI" w:hAnsi="Segoe UI" w:cs="Century Gothic"/>
      <w:sz w:val="18"/>
      <w:szCs w:val="18"/>
      <w:lang w:val="en-GB" w:eastAsia="en-GB"/>
    </w:rPr>
  </w:style>
  <w:style w:type="paragraph" w:customStyle="1" w:styleId="MarketingBasic1">
    <w:name w:val="Marketing Basic 1"/>
    <w:basedOn w:val="Normal"/>
    <w:rsid w:val="000C77C1"/>
    <w:pPr>
      <w:numPr>
        <w:numId w:val="17"/>
      </w:numPr>
      <w:spacing w:after="240"/>
      <w:jc w:val="both"/>
      <w:outlineLvl w:val="0"/>
    </w:pPr>
    <w:rPr>
      <w:rFonts w:ascii="Segoe UI" w:hAnsi="Segoe UI" w:cs="Century Gothic"/>
      <w:kern w:val="28"/>
      <w:sz w:val="18"/>
      <w:szCs w:val="18"/>
      <w:lang w:val="en-GB" w:eastAsia="en-GB"/>
    </w:rPr>
  </w:style>
  <w:style w:type="paragraph" w:customStyle="1" w:styleId="MarketingBasic2">
    <w:name w:val="Marketing Basic 2"/>
    <w:basedOn w:val="Normal"/>
    <w:rsid w:val="000C77C1"/>
    <w:pPr>
      <w:numPr>
        <w:ilvl w:val="1"/>
        <w:numId w:val="24"/>
      </w:numPr>
      <w:spacing w:after="240"/>
      <w:jc w:val="both"/>
      <w:outlineLvl w:val="1"/>
    </w:pPr>
    <w:rPr>
      <w:rFonts w:ascii="Segoe UI" w:hAnsi="Segoe UI" w:cs="Century Gothic"/>
      <w:sz w:val="18"/>
      <w:szCs w:val="18"/>
      <w:lang w:val="en-GB" w:eastAsia="en-GB"/>
    </w:rPr>
  </w:style>
  <w:style w:type="paragraph" w:customStyle="1" w:styleId="MarketingBasic3">
    <w:name w:val="Marketing Basic 3"/>
    <w:basedOn w:val="Normal"/>
    <w:rsid w:val="000C77C1"/>
    <w:pPr>
      <w:numPr>
        <w:ilvl w:val="2"/>
        <w:numId w:val="16"/>
      </w:numPr>
      <w:tabs>
        <w:tab w:val="num" w:pos="0"/>
      </w:tabs>
      <w:spacing w:after="240"/>
      <w:jc w:val="both"/>
      <w:outlineLvl w:val="2"/>
    </w:pPr>
    <w:rPr>
      <w:rFonts w:ascii="Segoe UI" w:hAnsi="Segoe UI" w:cs="Century Gothic"/>
      <w:sz w:val="18"/>
      <w:szCs w:val="18"/>
      <w:lang w:val="en-GB" w:eastAsia="en-GB"/>
    </w:rPr>
  </w:style>
  <w:style w:type="paragraph" w:customStyle="1" w:styleId="MarketingBasic4">
    <w:name w:val="Marketing Basic 4"/>
    <w:basedOn w:val="Normal"/>
    <w:rsid w:val="000C77C1"/>
    <w:pPr>
      <w:numPr>
        <w:ilvl w:val="3"/>
        <w:numId w:val="16"/>
      </w:numPr>
      <w:tabs>
        <w:tab w:val="num" w:pos="0"/>
      </w:tabs>
      <w:spacing w:after="240"/>
      <w:jc w:val="both"/>
      <w:outlineLvl w:val="3"/>
    </w:pPr>
    <w:rPr>
      <w:rFonts w:ascii="Segoe UI" w:hAnsi="Segoe UI" w:cs="Century Gothic"/>
      <w:sz w:val="18"/>
      <w:szCs w:val="18"/>
      <w:lang w:val="en-GB" w:eastAsia="en-GB"/>
    </w:rPr>
  </w:style>
  <w:style w:type="paragraph" w:customStyle="1" w:styleId="MarketingBasic5">
    <w:name w:val="Marketing Basic 5"/>
    <w:basedOn w:val="Normal"/>
    <w:rsid w:val="000C77C1"/>
    <w:pPr>
      <w:numPr>
        <w:ilvl w:val="4"/>
        <w:numId w:val="16"/>
      </w:numPr>
      <w:tabs>
        <w:tab w:val="num" w:pos="0"/>
      </w:tabs>
      <w:spacing w:after="240"/>
      <w:jc w:val="both"/>
      <w:outlineLvl w:val="4"/>
    </w:pPr>
    <w:rPr>
      <w:rFonts w:ascii="Segoe UI" w:hAnsi="Segoe UI" w:cs="Century Gothic"/>
      <w:sz w:val="18"/>
      <w:szCs w:val="18"/>
      <w:lang w:val="en-GB" w:eastAsia="en-GB"/>
    </w:rPr>
  </w:style>
  <w:style w:type="paragraph" w:customStyle="1" w:styleId="MHeading">
    <w:name w:val="MHeading"/>
    <w:basedOn w:val="Heading1"/>
    <w:rsid w:val="000C77C1"/>
    <w:pPr>
      <w:keepLines w:val="0"/>
      <w:spacing w:before="120" w:after="120"/>
      <w:jc w:val="both"/>
    </w:pPr>
    <w:rPr>
      <w:rFonts w:ascii="Segoe UI" w:eastAsiaTheme="minorEastAsia" w:hAnsi="Segoe UI" w:cs="Century Gothic"/>
      <w:b w:val="0"/>
      <w:bCs w:val="0"/>
      <w:color w:val="0C2E82"/>
      <w:lang w:val="en-GB" w:eastAsia="en-GB"/>
    </w:rPr>
  </w:style>
  <w:style w:type="character" w:customStyle="1" w:styleId="Bold">
    <w:name w:val="Bold"/>
    <w:basedOn w:val="DefaultParagraphFont"/>
    <w:uiPriority w:val="99"/>
    <w:rsid w:val="000C77C1"/>
    <w:rPr>
      <w:rFonts w:ascii="Segoe UI" w:hAnsi="Segoe UI" w:cs="Times New Roman"/>
      <w:b/>
      <w:color w:val="000000"/>
      <w:sz w:val="1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C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3C0A"/>
  </w:style>
  <w:style w:type="table" w:customStyle="1" w:styleId="PlainTable31">
    <w:name w:val="Plain Table 31"/>
    <w:basedOn w:val="TableNormal"/>
    <w:uiPriority w:val="43"/>
    <w:rsid w:val="00A708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BodyText"/>
    <w:rsid w:val="00B14D45"/>
    <w:pPr>
      <w:spacing w:before="120" w:after="120"/>
    </w:pPr>
    <w:rPr>
      <w:rFonts w:eastAsia="Times New Roman"/>
    </w:rPr>
  </w:style>
  <w:style w:type="paragraph" w:customStyle="1" w:styleId="MSubHeading">
    <w:name w:val="MSubHeading"/>
    <w:basedOn w:val="Normal"/>
    <w:rsid w:val="00B14D45"/>
    <w:pPr>
      <w:spacing w:before="120" w:after="120"/>
      <w:jc w:val="both"/>
    </w:pPr>
    <w:rPr>
      <w:rFonts w:ascii="Segoe UI" w:eastAsia="Times New Roman" w:hAnsi="Segoe UI" w:cs="Century Gothic"/>
      <w:b/>
      <w:color w:val="4A70A4"/>
      <w:sz w:val="20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0E6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F16"/>
    <w:rPr>
      <w:b/>
      <w:bCs/>
    </w:rPr>
  </w:style>
  <w:style w:type="paragraph" w:customStyle="1" w:styleId="FirmMemoTitle">
    <w:name w:val="Firm Memo Title"/>
    <w:basedOn w:val="BodyText"/>
    <w:next w:val="BodyText"/>
    <w:rsid w:val="00294355"/>
    <w:pPr>
      <w:spacing w:after="0"/>
    </w:pPr>
    <w:rPr>
      <w:color w:val="0C2E8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43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3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hone">
    <w:name w:val="Phone"/>
    <w:basedOn w:val="Normal"/>
    <w:link w:val="PhoneChar"/>
    <w:rsid w:val="00583FEE"/>
    <w:pPr>
      <w:jc w:val="both"/>
    </w:pPr>
    <w:rPr>
      <w:rFonts w:ascii="Segoe UI" w:hAnsi="Segoe UI" w:cs="Century Gothic"/>
      <w:color w:val="85898A"/>
      <w:sz w:val="18"/>
      <w:szCs w:val="18"/>
      <w:lang w:val="en-GB" w:eastAsia="en-GB"/>
    </w:rPr>
  </w:style>
  <w:style w:type="character" w:customStyle="1" w:styleId="PhoneChar">
    <w:name w:val="Phone Char"/>
    <w:link w:val="Phone"/>
    <w:locked/>
    <w:rsid w:val="00583FEE"/>
    <w:rPr>
      <w:rFonts w:ascii="Segoe UI" w:hAnsi="Segoe UI" w:cs="Century Gothic"/>
      <w:color w:val="85898A"/>
      <w:sz w:val="18"/>
      <w:szCs w:val="1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6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619"/>
  </w:style>
  <w:style w:type="paragraph" w:styleId="EndnoteText">
    <w:name w:val="endnote text"/>
    <w:basedOn w:val="Normal"/>
    <w:link w:val="EndnoteTextChar"/>
    <w:uiPriority w:val="99"/>
    <w:semiHidden/>
    <w:unhideWhenUsed/>
    <w:rsid w:val="002607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7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25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x.ky" TargetMode="External"/><Relationship Id="rId1" Type="http://schemas.openxmlformats.org/officeDocument/2006/relationships/hyperlink" Target="mailto:listing@csx.k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518C-10ED-4A91-AD8C-FC2FB843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BravaComm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Bravakis</dc:creator>
  <cp:keywords/>
  <dc:description/>
  <cp:lastModifiedBy>Eva Holt</cp:lastModifiedBy>
  <cp:revision>7</cp:revision>
  <cp:lastPrinted>2016-01-05T15:46:00Z</cp:lastPrinted>
  <dcterms:created xsi:type="dcterms:W3CDTF">2016-05-05T21:39:00Z</dcterms:created>
  <dcterms:modified xsi:type="dcterms:W3CDTF">2024-02-05T14:58:00Z</dcterms:modified>
</cp:coreProperties>
</file>